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8604A2"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 3-5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FA113F" w:rsidP="00843BC6">
            <w:pPr>
              <w:rPr>
                <w:rFonts w:ascii="Century Gothic" w:hAnsi="Century Gothic"/>
                <w:b/>
                <w:bCs/>
              </w:rPr>
            </w:pPr>
            <w:r>
              <w:rPr>
                <w:rFonts w:ascii="Century Gothic" w:hAnsi="Century Gothic"/>
                <w:b/>
                <w:bCs/>
              </w:rPr>
              <w:t>9/</w:t>
            </w:r>
            <w:r w:rsidR="00843BC6">
              <w:rPr>
                <w:rFonts w:ascii="Century Gothic" w:hAnsi="Century Gothic"/>
                <w:b/>
                <w:bCs/>
              </w:rPr>
              <w:t>25 – 9/29</w:t>
            </w:r>
            <w:bookmarkStart w:id="0" w:name="_GoBack"/>
            <w:bookmarkEnd w:id="0"/>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Pr="00360212" w:rsidRDefault="00EB6D89" w:rsidP="00EB6D89">
            <w:pPr>
              <w:rPr>
                <w:rFonts w:ascii="Century Gothic" w:hAnsi="Century Gothic"/>
                <w:bCs/>
                <w:sz w:val="22"/>
                <w:szCs w:val="22"/>
              </w:rPr>
            </w:pPr>
            <w:r w:rsidRPr="00360212">
              <w:rPr>
                <w:rFonts w:ascii="Century Gothic" w:hAnsi="Century Gothic"/>
                <w:b/>
                <w:bCs/>
                <w:sz w:val="22"/>
                <w:szCs w:val="22"/>
              </w:rPr>
              <w:t xml:space="preserve">  </w:t>
            </w:r>
            <w:r w:rsidR="00843BC6">
              <w:rPr>
                <w:rFonts w:ascii="Century Gothic" w:hAnsi="Century Gothic"/>
                <w:b/>
                <w:bCs/>
                <w:sz w:val="22"/>
                <w:szCs w:val="22"/>
              </w:rPr>
              <w:t>What is matter and what are the three phases?</w:t>
            </w: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3B74E1" w:rsidRPr="007439BA" w:rsidRDefault="003B74E1"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the students will identify different changes in matter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will identify different changes in matter,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the students will demonstrate awareness of different changes in matter, with minimal prompting, interact with different temperatures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FA113F">
            <w:pPr>
              <w:rPr>
                <w:rFonts w:ascii="Century Gothic" w:hAnsi="Century Gothic"/>
                <w:b/>
                <w:bCs/>
                <w:sz w:val="22"/>
                <w:szCs w:val="22"/>
              </w:rPr>
            </w:pPr>
            <w:r w:rsidRPr="00977742">
              <w:rPr>
                <w:rFonts w:ascii="Century Gothic" w:hAnsi="Century Gothic"/>
                <w:bCs/>
                <w:sz w:val="22"/>
                <w:szCs w:val="22"/>
              </w:rPr>
              <w:t>Picture Symbols</w:t>
            </w:r>
            <w:r w:rsidR="00310A08">
              <w:rPr>
                <w:rFonts w:ascii="Century Gothic" w:hAnsi="Century Gothic"/>
                <w:bCs/>
                <w:sz w:val="22"/>
                <w:szCs w:val="22"/>
              </w:rPr>
              <w:t xml:space="preserve">, smart board lesson, </w:t>
            </w:r>
            <w:r w:rsidR="00FA113F">
              <w:rPr>
                <w:rFonts w:ascii="Century Gothic" w:hAnsi="Century Gothic"/>
                <w:bCs/>
                <w:sz w:val="22"/>
                <w:szCs w:val="22"/>
              </w:rPr>
              <w:t>different solids and different liquids to compare to each other</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843BC6" w:rsidP="00753748">
            <w:pPr>
              <w:rPr>
                <w:rFonts w:ascii="Century Gothic" w:hAnsi="Century Gothic"/>
                <w:bCs/>
                <w:sz w:val="22"/>
                <w:szCs w:val="22"/>
              </w:rPr>
            </w:pPr>
            <w:r>
              <w:rPr>
                <w:rFonts w:ascii="Century Gothic" w:hAnsi="Century Gothic"/>
                <w:bCs/>
                <w:sz w:val="22"/>
                <w:szCs w:val="22"/>
              </w:rPr>
              <w:t>Matter, Solid, Liquid, Gas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650BE8">
        <w:trPr>
          <w:trHeight w:val="77"/>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B6D89" w:rsidRDefault="00EB6D89" w:rsidP="00212F0A">
            <w:pPr>
              <w:rPr>
                <w:rFonts w:ascii="Century Gothic" w:hAnsi="Century Gothic"/>
                <w:b/>
                <w:noProof/>
                <w:sz w:val="20"/>
                <w:szCs w:val="20"/>
              </w:rPr>
            </w:pPr>
          </w:p>
          <w:p w:rsidR="007439BA" w:rsidRDefault="007439BA" w:rsidP="00212F0A">
            <w:pPr>
              <w:rPr>
                <w:rFonts w:ascii="Century Gothic" w:hAnsi="Century Gothic"/>
                <w:b/>
                <w:noProof/>
                <w:sz w:val="20"/>
                <w:szCs w:val="20"/>
              </w:rPr>
            </w:pPr>
          </w:p>
          <w:p w:rsidR="005369B7" w:rsidRDefault="00BA0572" w:rsidP="00212F0A">
            <w:pPr>
              <w:rPr>
                <w:rFonts w:ascii="Century Gothic" w:hAnsi="Century Gothic"/>
                <w:b/>
                <w:noProof/>
                <w:sz w:val="20"/>
                <w:szCs w:val="20"/>
              </w:rPr>
            </w:pPr>
            <w:r w:rsidRPr="00BA0572">
              <w:rPr>
                <w:rFonts w:ascii="Century Gothic" w:hAnsi="Century Gothic"/>
                <w:b/>
                <w:noProof/>
                <w:sz w:val="20"/>
                <w:szCs w:val="20"/>
              </w:rPr>
              <w:drawing>
                <wp:inline distT="0" distB="0" distL="0" distR="0">
                  <wp:extent cx="5475605" cy="25196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5605" cy="2519680"/>
                          </a:xfrm>
                          <a:prstGeom prst="rect">
                            <a:avLst/>
                          </a:prstGeom>
                          <a:noFill/>
                          <a:ln w="9525">
                            <a:noFill/>
                            <a:miter lim="800000"/>
                            <a:headEnd/>
                            <a:tailEnd/>
                          </a:ln>
                        </pic:spPr>
                      </pic:pic>
                    </a:graphicData>
                  </a:graphic>
                </wp:inline>
              </w:drawing>
            </w:r>
          </w:p>
          <w:p w:rsidR="00650BE8" w:rsidRPr="00650BE8" w:rsidRDefault="00650BE8" w:rsidP="00212F0A">
            <w:pPr>
              <w:rPr>
                <w:rFonts w:ascii="Century Gothic" w:hAnsi="Century Gothic"/>
                <w:b/>
                <w:noProof/>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BA0572">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exposed to text in all academic areas. The students will be exposed to</w:t>
            </w:r>
            <w:r w:rsidR="00BA0572">
              <w:rPr>
                <w:rFonts w:ascii="Century Gothic" w:hAnsi="Century Gothic"/>
                <w:bCs/>
                <w:sz w:val="22"/>
                <w:szCs w:val="22"/>
              </w:rPr>
              <w:t xml:space="preserve"> solids</w:t>
            </w:r>
            <w:r w:rsidR="00310A08">
              <w:rPr>
                <w:rFonts w:ascii="Century Gothic" w:hAnsi="Century Gothic"/>
                <w:bCs/>
                <w:sz w:val="22"/>
                <w:szCs w:val="22"/>
              </w:rPr>
              <w:t xml:space="preserve">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9F4956" w:rsidRDefault="009F4956" w:rsidP="009F4956">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e/Group Work</w:t>
            </w:r>
          </w:p>
          <w:p w:rsidR="009F4956" w:rsidRPr="00BF61D9" w:rsidRDefault="009F4956" w:rsidP="009F4956">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9F4956" w:rsidRDefault="009F4956" w:rsidP="009F4956">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Pr>
                <w:rFonts w:ascii="Arial" w:hAnsi="Arial" w:cs="Arial"/>
                <w:bCs/>
                <w:sz w:val="22"/>
                <w:szCs w:val="22"/>
              </w:rPr>
              <w:t>Each student has the opportunity to participate in the lesson by using their switches, and answering questions.</w:t>
            </w:r>
          </w:p>
          <w:p w:rsidR="003B74E1" w:rsidRPr="00687948" w:rsidRDefault="009F4956" w:rsidP="009F4956">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1"/>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304CB4"/>
    <w:rsid w:val="00310A08"/>
    <w:rsid w:val="00360212"/>
    <w:rsid w:val="00364158"/>
    <w:rsid w:val="003679FA"/>
    <w:rsid w:val="00385220"/>
    <w:rsid w:val="0039254C"/>
    <w:rsid w:val="003928EF"/>
    <w:rsid w:val="003B0DC0"/>
    <w:rsid w:val="003B74E1"/>
    <w:rsid w:val="003C4C2C"/>
    <w:rsid w:val="003C5091"/>
    <w:rsid w:val="00435981"/>
    <w:rsid w:val="0045762F"/>
    <w:rsid w:val="00465E83"/>
    <w:rsid w:val="00480817"/>
    <w:rsid w:val="004823F3"/>
    <w:rsid w:val="004A0859"/>
    <w:rsid w:val="004E7184"/>
    <w:rsid w:val="004F6B51"/>
    <w:rsid w:val="005369B7"/>
    <w:rsid w:val="0056086D"/>
    <w:rsid w:val="005A1A07"/>
    <w:rsid w:val="005B56B4"/>
    <w:rsid w:val="006019A9"/>
    <w:rsid w:val="006352B3"/>
    <w:rsid w:val="00650BE8"/>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53748"/>
    <w:rsid w:val="00791CA3"/>
    <w:rsid w:val="007A68CF"/>
    <w:rsid w:val="007C7A4B"/>
    <w:rsid w:val="007E0050"/>
    <w:rsid w:val="007F0D4F"/>
    <w:rsid w:val="00835217"/>
    <w:rsid w:val="008417C4"/>
    <w:rsid w:val="00843BC6"/>
    <w:rsid w:val="00845C10"/>
    <w:rsid w:val="00855BC8"/>
    <w:rsid w:val="008604A2"/>
    <w:rsid w:val="008A49B7"/>
    <w:rsid w:val="008D1E94"/>
    <w:rsid w:val="008E2AE3"/>
    <w:rsid w:val="008F7A9C"/>
    <w:rsid w:val="0093017A"/>
    <w:rsid w:val="00942475"/>
    <w:rsid w:val="00977742"/>
    <w:rsid w:val="009821CA"/>
    <w:rsid w:val="009A5751"/>
    <w:rsid w:val="009B1E60"/>
    <w:rsid w:val="009B5142"/>
    <w:rsid w:val="009D098B"/>
    <w:rsid w:val="009F4956"/>
    <w:rsid w:val="00A1489F"/>
    <w:rsid w:val="00A446D8"/>
    <w:rsid w:val="00A6539B"/>
    <w:rsid w:val="00A67C46"/>
    <w:rsid w:val="00A76019"/>
    <w:rsid w:val="00A82CBD"/>
    <w:rsid w:val="00AA1F97"/>
    <w:rsid w:val="00AF7FFA"/>
    <w:rsid w:val="00B911C0"/>
    <w:rsid w:val="00BA0572"/>
    <w:rsid w:val="00BB1A36"/>
    <w:rsid w:val="00BB69B2"/>
    <w:rsid w:val="00BD085B"/>
    <w:rsid w:val="00BD2F9A"/>
    <w:rsid w:val="00BE1858"/>
    <w:rsid w:val="00BF61D9"/>
    <w:rsid w:val="00C42FF5"/>
    <w:rsid w:val="00C6266A"/>
    <w:rsid w:val="00C631B5"/>
    <w:rsid w:val="00C85B09"/>
    <w:rsid w:val="00C908F9"/>
    <w:rsid w:val="00C96114"/>
    <w:rsid w:val="00CB6AD9"/>
    <w:rsid w:val="00CD054B"/>
    <w:rsid w:val="00CD117C"/>
    <w:rsid w:val="00CE44FB"/>
    <w:rsid w:val="00D1471B"/>
    <w:rsid w:val="00D23274"/>
    <w:rsid w:val="00D31093"/>
    <w:rsid w:val="00D33F8F"/>
    <w:rsid w:val="00D77266"/>
    <w:rsid w:val="00DA44D4"/>
    <w:rsid w:val="00DC184F"/>
    <w:rsid w:val="00DE37E3"/>
    <w:rsid w:val="00DE439F"/>
    <w:rsid w:val="00E11F64"/>
    <w:rsid w:val="00E15FE8"/>
    <w:rsid w:val="00E93448"/>
    <w:rsid w:val="00E9715D"/>
    <w:rsid w:val="00EA7022"/>
    <w:rsid w:val="00EB6D89"/>
    <w:rsid w:val="00EE1571"/>
    <w:rsid w:val="00F7013D"/>
    <w:rsid w:val="00F72DAC"/>
    <w:rsid w:val="00F949C5"/>
    <w:rsid w:val="00FA113F"/>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FE70B99"/>
  <w15:docId w15:val="{91815CEF-C809-4367-802F-44D55E9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D054B"/>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BFE41-C234-4A68-A6D5-127C9D2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3594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2016-08-24T13:46:00Z</cp:lastPrinted>
  <dcterms:created xsi:type="dcterms:W3CDTF">2017-06-07T15:28:00Z</dcterms:created>
  <dcterms:modified xsi:type="dcterms:W3CDTF">2017-06-07T15:28:00Z</dcterms:modified>
</cp:coreProperties>
</file>